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AE" w:rsidRDefault="00E43A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Государственный выпускной экзамен (ГВЭ-11)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– форма государственной итоговой аттестации в виде письменных и устных экзаменов с использованием текстов, тем, заданий, билетов для обучающихся:</w:t>
      </w:r>
    </w:p>
    <w:p w:rsidR="00BF13AE" w:rsidRDefault="00E43A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57648E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31" name="image1.png" descr="https://coko24.ru/wp-content/uploads/2014/11/ban_e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oko24.ru/wp-content/uploads/2014/11/ban_e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BF13AE" w:rsidRDefault="00E43A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57648E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33" name="image1.png" descr="https://coko24.ru/wp-content/uploads/2014/11/ban_e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oko24.ru/wp-content/uploads/2014/11/ban_e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 ограниченными возможностями здоровья, детей-инвалидов, инвалид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ов 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(при наличии соответствующих рекомендаций психолого-медико-педагогической комиссии (ПМПК) и (или)справки, подтверждающей факт установления инвалидности (МСЭ))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BF13AE" w:rsidRDefault="00E43A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57648E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32" name="image1.png" descr="https://coko24.ru/wp-content/uploads/2014/11/ban_e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oko24.ru/wp-content/uploads/2014/11/ban_e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получающих среднее общее образование в рамках освоения образовательных программ среднего про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фессионального образования.</w:t>
      </w:r>
    </w:p>
    <w:tbl>
      <w:tblPr>
        <w:tblStyle w:val="aa"/>
        <w:tblW w:w="95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570"/>
      </w:tblGrid>
      <w:tr w:rsidR="00BF13AE">
        <w:tc>
          <w:tcPr>
            <w:tcW w:w="95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B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13AE" w:rsidRDefault="00E43A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ДОПУСК К ГВЭ.</w:t>
      </w:r>
    </w:p>
    <w:p w:rsidR="00BF13AE" w:rsidRDefault="00E43A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 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ГИА-11 допускаются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обучающиеся, не имеющие академической задолженности, в том числе за </w:t>
      </w:r>
      <w:hyperlink r:id="rId7">
        <w:r>
          <w:rPr>
            <w:rFonts w:ascii="Times New Roman" w:eastAsia="Times New Roman" w:hAnsi="Times New Roman" w:cs="Times New Roman"/>
            <w:b/>
            <w:color w:val="57648E"/>
            <w:sz w:val="24"/>
            <w:szCs w:val="24"/>
            <w:u w:val="single"/>
          </w:rPr>
          <w:t>итоговое сочинение (изложение)</w:t>
        </w:r>
      </w:hyperlink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и в полном объеме выполнившие учебный пл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ан или индивидуальный учебный план (имеющие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удовлетворительных).</w:t>
      </w:r>
    </w:p>
    <w:p w:rsidR="00BF13AE" w:rsidRDefault="00E43A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ГИА-11 в форме ГВЭ проводится по двум обязател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ьным предметам: русский язык и математика.</w:t>
      </w:r>
    </w:p>
    <w:p w:rsidR="00BF13AE" w:rsidRDefault="00E43A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Экзамены по другим учебным предметам обучающиеся сдают на добровольной основе по своему выбору.</w:t>
      </w:r>
      <w:r>
        <w:pict>
          <v:rect id="_x0000_i1025" style="width:0;height:1.5pt" o:hralign="center" o:hrstd="t" o:hr="t" fillcolor="#a0a0a0" stroked="f"/>
        </w:pict>
      </w:r>
    </w:p>
    <w:p w:rsidR="00BF13AE" w:rsidRDefault="00E43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ПЕРИОДЫ ГВЭ.</w:t>
      </w:r>
    </w:p>
    <w:p w:rsidR="00BF13AE" w:rsidRDefault="00E43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Порядок, сроки и единое расписание экзаменов для проведения ГВЭ ежегодно утверждаются приказами Министерства просвещения РФ.</w:t>
      </w:r>
    </w:p>
    <w:p w:rsidR="00BF13AE" w:rsidRDefault="00E43A9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ГВЭ проходит в 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следующие периоды:</w:t>
      </w:r>
    </w:p>
    <w:p w:rsidR="00BF13AE" w:rsidRDefault="00E43A9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Досрочный период:</w:t>
      </w:r>
    </w:p>
    <w:p w:rsidR="00BF13AE" w:rsidRDefault="00E43A9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57648E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35" name="image1.png" descr="https://coko24.ru/wp-content/uploads/2014/11/ban_e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oko24.ru/wp-content/uploads/2014/11/ban_e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март, апрель;</w:t>
      </w:r>
    </w:p>
    <w:p w:rsidR="00BF13AE" w:rsidRDefault="00E43A9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Основной период:</w:t>
      </w:r>
    </w:p>
    <w:p w:rsidR="00BF13AE" w:rsidRDefault="00E43A9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57648E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34" name="image1.png" descr="https://coko24.ru/wp-content/uploads/2014/11/ban_e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oko24.ru/wp-content/uploads/2014/11/ban_e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май, июнь;</w:t>
      </w:r>
    </w:p>
    <w:p w:rsidR="00BF13AE" w:rsidRDefault="00E43A9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Дополнительный период:</w:t>
      </w:r>
    </w:p>
    <w:p w:rsidR="00BF13AE" w:rsidRDefault="00E43A9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57648E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37" name="image1.png" descr="https://coko24.ru/wp-content/uploads/2014/11/ban_e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oko24.ru/wp-content/uploads/2014/11/ban_e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сентябрь.</w:t>
      </w:r>
    </w:p>
    <w:p w:rsidR="00BF13AE" w:rsidRDefault="00E43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ПРОВЕДЕНИЕ ЭКЗАМЕНА.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Основным документом, регламентирующим процедуру ГВЭ, является </w:t>
      </w:r>
      <w:hyperlink r:id="rId8">
        <w:r>
          <w:rPr>
            <w:rFonts w:ascii="Times New Roman" w:eastAsia="Times New Roman" w:hAnsi="Times New Roman" w:cs="Times New Roman"/>
            <w:color w:val="57648E"/>
            <w:sz w:val="24"/>
            <w:szCs w:val="24"/>
            <w:u w:val="single"/>
          </w:rPr>
          <w:t>Poryadok_GIA-11_ot_07.11.2018_N_190-1512</w:t>
        </w:r>
      </w:hyperlink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1.На экзамен необходимо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явиться не позднее 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9-00.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2.Участники экзамена 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могут взять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с собой в аудиторию только: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57648E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36" name="image1.png" descr="https://coko24.ru/wp-content/uploads/2014/11/ban_e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oko24.ru/wp-content/uploads/2014/11/ban_e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документ, удостоверяющий личность;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57648E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39" name="image1.png" descr="https://coko24.ru/wp-content/uploads/2014/11/ban_e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oko24.ru/wp-content/uploads/2014/11/ban_e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черную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гелевую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ручку;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57648E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38" name="image1.png" descr="https://coko24.ru/wp-content/uploads/2014/11/ban_e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oko24.ru/wp-content/uploads/2014/11/ban_e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специальные технические средства для участников ГВЭ (для лиц с ограниченными возможнос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тями здоровья (ОВЗ), детей-инвалидов, инвалидов),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57648E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42" name="image1.png" descr="https://coko24.ru/wp-content/uploads/2014/11/ban_e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oko24.ru/wp-content/uploads/2014/11/ban_e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при необходимости — лекарства и питание;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57648E"/>
          <w:sz w:val="24"/>
          <w:szCs w:val="24"/>
        </w:rPr>
        <w:lastRenderedPageBreak/>
        <w:drawing>
          <wp:inline distT="0" distB="0" distL="0" distR="0">
            <wp:extent cx="190500" cy="152400"/>
            <wp:effectExtent l="0" t="0" r="0" b="0"/>
            <wp:docPr id="40" name="image1.png" descr="https://coko24.ru/wp-content/uploads/2014/11/ban_e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oko24.ru/wp-content/uploads/2014/11/ban_e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средства обучения и воспитания.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3.ГВЭ по всем предметам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начинается в 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10-00.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Продолжительность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экзамена по обязательным предметам (математика, русский язык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) –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 3 ч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 55 мин.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.Формат экзаменационных заданий: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57648E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41" name="image1.png" descr="https://coko24.ru/wp-content/uploads/2014/11/ban_e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oko24.ru/wp-content/uploads/2014/11/ban_e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русский язык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изложение с творческим заданием или сочинение по выбору выпускника (для обучающихся с расстройствами аутистического спектра –диктант).</w:t>
      </w:r>
    </w:p>
    <w:p w:rsidR="00BF13AE" w:rsidRDefault="00E43A96">
      <w:pPr>
        <w:numPr>
          <w:ilvl w:val="0"/>
          <w:numId w:val="1"/>
        </w:numPr>
        <w:spacing w:after="0"/>
        <w:ind w:left="300" w:right="300"/>
        <w:rPr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Участники ГВЭ по русскому языку 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делают выбор (сочинение, изложение, диктант)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</w:rPr>
        <w:t>в момент подачи заявления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 на участие в ГИА.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57648E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43" name="image1.png" descr="https://coko24.ru/wp-content/uploads/2014/11/ban_e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oko24.ru/wp-content/uploads/2014/11/ban_e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математика: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экзаменационная работа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содержащая 12 заданий, из которых 10 заданий с кратким ответом и 2 задания с развернутым ответом.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Устройства,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которыми разрешено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пользоваться во время экзамена: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57648E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44" name="image1.png" descr="https://coko24.ru/wp-content/uploads/2014/11/ban_e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oko24.ru/wp-content/uploads/2014/11/ban_e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математика: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— линейка;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57648E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45" name="image1.png" descr="https://coko24.ru/wp-content/uploads/2014/11/ban_e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oko24.ru/wp-content/uploads/2014/11/ban_e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русский язык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— орфографический и толковый словари.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>Особые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и 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>специальные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условия, предоставляемые участникам ГИА-11 с ОВЗ, детям-инвалидам и инвалидам в ППЭ:</w:t>
      </w:r>
    </w:p>
    <w:tbl>
      <w:tblPr>
        <w:tblStyle w:val="ab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30"/>
        <w:gridCol w:w="4815"/>
      </w:tblGrid>
      <w:tr w:rsidR="00BF13AE">
        <w:tc>
          <w:tcPr>
            <w:tcW w:w="45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Особые условия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предоставляются всем участникам ГВЭ-11 (при предъявлении копии рекомендаций ПМПК или справки, подтверждающей инвалидность)</w:t>
            </w:r>
          </w:p>
        </w:tc>
        <w:tc>
          <w:tcPr>
            <w:tcW w:w="481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Специальные условия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предоставляются участникам ГВЭ-11 (только при наличии соответствующего перечня в заключении ПМПК)</w:t>
            </w:r>
          </w:p>
        </w:tc>
      </w:tr>
      <w:tr w:rsidR="00BF13AE">
        <w:tc>
          <w:tcPr>
            <w:tcW w:w="45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ГВЭ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всем учебным предметам в устной форме;</w:t>
            </w:r>
          </w:p>
        </w:tc>
        <w:tc>
          <w:tcPr>
            <w:tcW w:w="481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Присутствие ассистентов;</w:t>
            </w:r>
          </w:p>
        </w:tc>
      </w:tr>
      <w:tr w:rsidR="00BF13AE">
        <w:tc>
          <w:tcPr>
            <w:tcW w:w="45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продолжительности экзамена на 1,5 часа;</w:t>
            </w:r>
          </w:p>
        </w:tc>
        <w:tc>
          <w:tcPr>
            <w:tcW w:w="481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на экзамене необходимых для выполнения заданий технических средств;</w:t>
            </w:r>
          </w:p>
        </w:tc>
      </w:tr>
      <w:tr w:rsidR="00BF13AE">
        <w:tc>
          <w:tcPr>
            <w:tcW w:w="45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и перерывов для проведения необходимых лечебных и профилактических мероприятий;</w:t>
            </w:r>
          </w:p>
        </w:tc>
        <w:tc>
          <w:tcPr>
            <w:tcW w:w="481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экзамена);</w:t>
            </w:r>
          </w:p>
        </w:tc>
      </w:tr>
      <w:tr w:rsidR="00BF13AE">
        <w:tc>
          <w:tcPr>
            <w:tcW w:w="45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Беспрепятственный доступ участников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этаже; наличие специальных кресел и других приспособлений).</w:t>
            </w:r>
          </w:p>
        </w:tc>
        <w:tc>
          <w:tcPr>
            <w:tcW w:w="481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ЭР рельефно-точечным шрифтом Брайля;</w:t>
            </w:r>
          </w:p>
        </w:tc>
      </w:tr>
    </w:tbl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8.На экзамене используются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специальные бланки: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57648E"/>
          <w:sz w:val="24"/>
          <w:szCs w:val="24"/>
        </w:rPr>
        <w:lastRenderedPageBreak/>
        <w:drawing>
          <wp:inline distT="0" distB="0" distL="0" distR="0">
            <wp:extent cx="1200150" cy="1704975"/>
            <wp:effectExtent l="0" t="0" r="0" b="0"/>
            <wp:docPr id="46" name="image3.png" descr="http://coko24.ru/wp-content/uploads/2012/01/1-212x30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://coko24.ru/wp-content/uploads/2012/01/1-212x300.gi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57648E"/>
          <w:sz w:val="24"/>
          <w:szCs w:val="24"/>
        </w:rPr>
        <w:drawing>
          <wp:inline distT="0" distB="0" distL="0" distR="0">
            <wp:extent cx="1171575" cy="1666875"/>
            <wp:effectExtent l="0" t="0" r="0" b="0"/>
            <wp:docPr id="47" name="image2.png" descr="http://coko24.ru/wp-content/uploads/2012/01/2-212x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coko24.ru/wp-content/uploads/2012/01/2-212x300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66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hyperlink r:id="rId11">
        <w:r>
          <w:rPr>
            <w:rFonts w:ascii="Times New Roman" w:eastAsia="Times New Roman" w:hAnsi="Times New Roman" w:cs="Times New Roman"/>
            <w:color w:val="57648E"/>
            <w:sz w:val="24"/>
            <w:szCs w:val="24"/>
            <w:u w:val="single"/>
          </w:rPr>
          <w:t>Правила заполнения бланков ГВЭ-11</w:t>
        </w:r>
      </w:hyperlink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9.Во время экзамена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запрещается: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57648E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48" name="image1.png" descr="https://coko24.ru/wp-content/uploads/2014/11/ban_e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oko24.ru/wp-content/uploads/2014/11/ban_e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общаться друг с другом;</w:t>
      </w:r>
      <w:r>
        <w:rPr>
          <w:rFonts w:ascii="Times New Roman" w:eastAsia="Times New Roman" w:hAnsi="Times New Roman" w:cs="Times New Roman"/>
          <w:b/>
          <w:noProof/>
          <w:color w:val="57648E"/>
          <w:sz w:val="24"/>
          <w:szCs w:val="24"/>
        </w:rPr>
        <w:drawing>
          <wp:inline distT="0" distB="0" distL="0" distR="0">
            <wp:extent cx="819150" cy="809625"/>
            <wp:effectExtent l="0" t="0" r="0" b="0"/>
            <wp:docPr id="49" name="image4.png" descr="http://coko24.ru/wp-content/uploads/2012/01/2014031416180201-300x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://coko24.ru/wp-content/uploads/2012/01/2014031416180201-300x300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57648E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50" name="image1.png" descr="https://coko24.ru/wp-content/uploads/2014/11/ban_e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oko24.ru/wp-content/uploads/2014/11/ban_e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свободно перемещаться по аудитории и ППЭ (без сопровождения);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57648E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26" name="image1.png" descr="https://coko24.ru/wp-content/uploads/2014/11/ban_e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oko24.ru/wp-content/uploads/2014/11/ban_e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выносить экзаменационные материалы, черновики из аудитории;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57648E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27" name="image1.png" descr="https://coko24.ru/wp-content/uploads/2014/11/ban_e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oko24.ru/wp-content/uploads/2014/11/ban_e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иметь при себе средства связи, электронно-вычислительную технику, фото,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аудио,видеоаппаратуру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, справочные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материалы,письменные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замет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ки и иные средства хранения и передачи информации</w:t>
      </w:r>
    </w:p>
    <w:p w:rsidR="00BF13AE" w:rsidRDefault="00E43A96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Лица, допустившие нарушение установленного порядка проведения ГИА, удаляются с экзамена!</w:t>
      </w:r>
    </w:p>
    <w:p w:rsidR="00BF13AE" w:rsidRDefault="00E43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pict>
          <v:rect id="_x0000_i1027" style="width:0;height:1.5pt" o:hralign="center" o:hrstd="t" o:hr="t" fillcolor="#a0a0a0" stroked="f"/>
        </w:pic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РЕЗУЛЬТАТЫ ГВЭ.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Результаты ГВЭ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можно узнать в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своей школе.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Минимальный балл ГВЭ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аттестата: 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усский язык,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математика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 —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3 балла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;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Шкала перевода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первичных баллов ГВЭ по 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русскому языку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в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пятибальную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отметку:</w:t>
      </w:r>
    </w:p>
    <w:tbl>
      <w:tblPr>
        <w:tblStyle w:val="ac"/>
        <w:tblW w:w="100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67"/>
        <w:gridCol w:w="2157"/>
        <w:gridCol w:w="2004"/>
        <w:gridCol w:w="1546"/>
        <w:gridCol w:w="1601"/>
      </w:tblGrid>
      <w:tr w:rsidR="00BF13AE">
        <w:tc>
          <w:tcPr>
            <w:tcW w:w="276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215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неудовлетворит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00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 (удовлетворит.)</w:t>
            </w:r>
          </w:p>
        </w:tc>
        <w:tc>
          <w:tcPr>
            <w:tcW w:w="154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 (хорошо)</w:t>
            </w:r>
          </w:p>
        </w:tc>
        <w:tc>
          <w:tcPr>
            <w:tcW w:w="1601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 (отлично)</w:t>
            </w:r>
          </w:p>
        </w:tc>
      </w:tr>
      <w:tr w:rsidR="00BF13AE">
        <w:tc>
          <w:tcPr>
            <w:tcW w:w="276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215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0-4</w:t>
            </w:r>
          </w:p>
        </w:tc>
        <w:tc>
          <w:tcPr>
            <w:tcW w:w="200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5-10</w:t>
            </w:r>
          </w:p>
        </w:tc>
        <w:tc>
          <w:tcPr>
            <w:tcW w:w="154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1601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15-17</w:t>
            </w:r>
          </w:p>
        </w:tc>
      </w:tr>
    </w:tbl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.Шкала перевода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первичных баллов ГВЭ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по математике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пятибальную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отметку (обучающиеся без ОВЗ и с ОВЗ:</w:t>
      </w:r>
    </w:p>
    <w:tbl>
      <w:tblPr>
        <w:tblStyle w:val="ad"/>
        <w:tblW w:w="100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67"/>
        <w:gridCol w:w="2157"/>
        <w:gridCol w:w="2004"/>
        <w:gridCol w:w="1546"/>
        <w:gridCol w:w="1601"/>
      </w:tblGrid>
      <w:tr w:rsidR="00BF13AE">
        <w:tc>
          <w:tcPr>
            <w:tcW w:w="276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215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неудовлетворит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00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 (удовлетворит.)</w:t>
            </w:r>
          </w:p>
        </w:tc>
        <w:tc>
          <w:tcPr>
            <w:tcW w:w="154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 (хорошо)</w:t>
            </w:r>
          </w:p>
        </w:tc>
        <w:tc>
          <w:tcPr>
            <w:tcW w:w="1601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 (отлично)</w:t>
            </w:r>
          </w:p>
        </w:tc>
      </w:tr>
      <w:tr w:rsidR="00BF13AE">
        <w:tc>
          <w:tcPr>
            <w:tcW w:w="276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215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0-3</w:t>
            </w:r>
          </w:p>
        </w:tc>
        <w:tc>
          <w:tcPr>
            <w:tcW w:w="200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4-6</w:t>
            </w:r>
          </w:p>
        </w:tc>
        <w:tc>
          <w:tcPr>
            <w:tcW w:w="154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1601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BF13AE" w:rsidRDefault="00E4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10-14</w:t>
            </w:r>
          </w:p>
        </w:tc>
      </w:tr>
    </w:tbl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br/>
        <w:t>6.Повторно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допускаются к сдаче экзаменов в текущем году: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57648E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28" name="image1.png" descr="https://coko24.ru/wp-content/uploads/2014/11/ban_e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oko24.ru/wp-content/uploads/2014/11/ban_e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обучающиеся, получившие на ГВЭ неудовлетворительный результат по одному из обязательных учебных предметов;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57648E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29" name="image1.png" descr="https://coko24.ru/wp-content/uploads/2014/11/ban_e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oko24.ru/wp-content/uploads/2014/11/ban_e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обучающиеся, не явившиеся на экзамены по уважительным причинам (болезнь или иные обстоятельства, под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твержденные документально);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57648E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30" name="image1.png" descr="https://coko24.ru/wp-content/uploads/2014/11/ban_e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oko24.ru/wp-content/uploads/2014/11/ban_e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обучающиеся, 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7.Выпускникам текущего года, получившим 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неудовлетворительные результаты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по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русскому языку и математике, выдается 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справка об обучении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в образовательной организации.</w:t>
      </w:r>
    </w:p>
    <w:p w:rsidR="00BF13AE" w:rsidRDefault="00E43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pict>
          <v:rect id="_x0000_i1028" style="width:0;height:1.5pt" o:hralign="center" o:hrstd="t" o:hr="t" fillcolor="#a0a0a0" stroked="f"/>
        </w:pic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5.АПЕЛЛЯЦИИ ГВЭ. 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Участник ГВЭ имеет право подать апелляции: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 нарушении установленного порядка проведения ГВЭ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— в день экзамена после сдачи бланков ГВЭ до выхода из ППЭ (пункта приема экзамена);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 несогласии с выставленными баллами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— в течение двух рабочих дней после официального объявления результатов экзамена.</w:t>
      </w:r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Подробнее об апелляциях — в разделе </w:t>
      </w:r>
      <w:hyperlink r:id="rId13">
        <w:r>
          <w:rPr>
            <w:rFonts w:ascii="Times New Roman" w:eastAsia="Times New Roman" w:hAnsi="Times New Roman" w:cs="Times New Roman"/>
            <w:b/>
            <w:color w:val="57648E"/>
            <w:sz w:val="24"/>
            <w:szCs w:val="24"/>
            <w:u w:val="single"/>
          </w:rPr>
          <w:t>«подающим апелляцию»</w:t>
        </w:r>
      </w:hyperlink>
    </w:p>
    <w:p w:rsidR="00BF13AE" w:rsidRDefault="00E43A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 Красноярском крае организа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цией и проведением ГВЭ занимается 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отдел организационно — методического обеспечения ГИА-11 КГКСУ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ЦОКО .</w:t>
      </w:r>
      <w:proofErr w:type="gramEnd"/>
    </w:p>
    <w:p w:rsidR="00BF13AE" w:rsidRDefault="00BF13A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sectPr w:rsidR="00BF13A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951"/>
    <w:multiLevelType w:val="multilevel"/>
    <w:tmpl w:val="0DD86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AE"/>
    <w:rsid w:val="00BF13AE"/>
    <w:rsid w:val="00E4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B9BED27-EB46-4697-AE83-49AAC06A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ko24.ru/wp-content/uploads/2019/01/Poryadok_GIA-11_ot_07.11.2018_N_190-1512.pdf" TargetMode="External"/><Relationship Id="rId13" Type="http://schemas.openxmlformats.org/officeDocument/2006/relationships/hyperlink" Target="https://coko24.ru/%D0%B8%D0%BD%D1%84%D0%BE%D1%80%D0%BC%D0%B0%D1%86%D0%B8%D1%8F-%D0%B4%D0%BB%D1%8F-%D0%BF%D0%BE%D0%B4%D0%B0%D1%8E%D1%89%D0%B8%D1%85-%D0%B0%D0%BF%D0%B5%D0%BB%D0%BB%D1%8F%D1%86%D0%B8%D1%8E/" TargetMode="External"/><Relationship Id="rId3" Type="http://schemas.openxmlformats.org/officeDocument/2006/relationships/styles" Target="styles.xml"/><Relationship Id="rId7" Type="http://schemas.openxmlformats.org/officeDocument/2006/relationships/hyperlink" Target="http://coko24.ru/?page_id=12775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oko24.ru/wp-content/uploads/2020/12/%D0%9F%D1%80%D0%B0%D0%B2%D0%B8%D0%BB%D0%B0-%D0%B7%D0%B0%D0%BF%D0%BE%D0%BB%D0%BD%D0%B5%D0%BD%D0%B8%D1%8F-%D0%B1%D0%BB%D0%B0%D0%BD%D0%BA%D0%BE%D0%B2-%D0%93%D0%92%D0%AD-11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1xx4yZRVlMk6JHCWiFJLWnJo/A==">AMUW2mUB3Ma+26lUyAnozmjvClF+P2QPXrDzjMa+hUK/no9JTjGq94wQTCYktSncq1HrA9+0bXb6OPff7+xZrq5sEZyTDq3qt1+aLY1dh5/d2MrWbXHum2gGIaG4LsqzVSVKZFK3KwtR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2023-11-01T09:18:00Z</dcterms:created>
  <dcterms:modified xsi:type="dcterms:W3CDTF">2023-11-01T09:18:00Z</dcterms:modified>
</cp:coreProperties>
</file>